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1_786"/>
        <w:jc w:val="center"/>
        <w:spacing w:before="0" w:after="0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103</w:t>
      </w:r>
      <w:r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документов на землю передал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Новосибирский Росреестр 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администрацию Новосибирского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декабре 2024 года Управлением Росреестра по Новосибирской области в администрацию Новосибирского района передано 103 тысячи «старых» документов на земельные участки, расположенные в Новосибирском районе.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8"/>
        <w:jc w:val="both"/>
        <w:rPr>
          <w:sz w:val="28"/>
          <w:szCs w:val="26"/>
        </w:rPr>
      </w:pPr>
      <w:r>
        <w:rPr>
          <w:sz w:val="28"/>
        </w:rPr>
        <w:t xml:space="preserve">Речь идет о</w:t>
      </w:r>
      <w:r>
        <w:rPr>
          <w:sz w:val="28"/>
          <w:szCs w:val="26"/>
        </w:rPr>
        <w:t xml:space="preserve">: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32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8"/>
        </w:rPr>
        <w:t xml:space="preserve">свидетельствах о праве (на право) собственности на землю;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32"/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г</w:t>
      </w:r>
      <w:r>
        <w:rPr>
          <w:sz w:val="28"/>
          <w:szCs w:val="28"/>
        </w:rPr>
        <w:t xml:space="preserve">осударственны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на право собственности на землю, пожизненного наследуемого владения, бессрочного (постоянного) пользования землей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Это документы</w:t>
      </w:r>
      <w:r>
        <w:rPr>
          <w:sz w:val="28"/>
          <w:szCs w:val="28"/>
        </w:rPr>
        <w:t xml:space="preserve">, удостоверяющи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землепользователей </w:t>
      </w:r>
      <w:r>
        <w:rPr>
          <w:sz w:val="28"/>
          <w:szCs w:val="28"/>
        </w:rPr>
        <w:t xml:space="preserve">на ранее учтенные земельные участки и оформленны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до дня вступления в силу Федерального закона от 21.07.1997 № 122-ФЗ «О государственной регистрации прав на недвижимое имущество и сделок с ним»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Теперь граждане и юридические лица могут получить </w:t>
      </w:r>
      <w:r>
        <w:rPr>
          <w:sz w:val="28"/>
          <w:szCs w:val="28"/>
        </w:rPr>
        <w:t xml:space="preserve">копи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правоудостоверяющих документов на ранее учтенные земельные участки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администрации Новосибирского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contextualSpacing/>
        <w:ind w:firstLine="709"/>
        <w:jc w:val="both"/>
        <w:tabs>
          <w:tab w:val="left" w:pos="4678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Правоудостоверяющие документы чаще всего востребованы  владельцами земельных участков, земельных долей</w:t>
      </w:r>
      <w:r>
        <w:rPr>
          <w:sz w:val="28"/>
          <w:szCs w:val="28"/>
        </w:rPr>
        <w:t xml:space="preserve">, их наследниками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регистрации права, предъявления в суд</w:t>
      </w:r>
      <w:r>
        <w:rPr>
          <w:sz w:val="28"/>
          <w:szCs w:val="28"/>
        </w:rPr>
        <w:t xml:space="preserve">ебные органы, к нотариусам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местного самоуправления Новосибирской области </w:t>
      </w:r>
      <w:r>
        <w:rPr>
          <w:sz w:val="28"/>
          <w:szCs w:val="28"/>
        </w:rPr>
        <w:t xml:space="preserve">данные</w:t>
      </w:r>
      <w:r>
        <w:rPr>
          <w:sz w:val="28"/>
          <w:szCs w:val="28"/>
        </w:rPr>
        <w:t xml:space="preserve"> документы использ</w:t>
      </w:r>
      <w:r>
        <w:rPr>
          <w:sz w:val="28"/>
          <w:szCs w:val="28"/>
        </w:rPr>
        <w:t xml:space="preserve">уются</w:t>
      </w:r>
      <w:r>
        <w:rPr>
          <w:sz w:val="28"/>
          <w:szCs w:val="28"/>
        </w:rPr>
        <w:t xml:space="preserve"> для выявления правообладателей ранее учтенных объектов недвижимости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- </w:t>
      </w:r>
      <w:r>
        <w:rPr>
          <w:sz w:val="28"/>
          <w:szCs w:val="28"/>
        </w:rPr>
        <w:t xml:space="preserve">комментирует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 xml:space="preserve"> департамента имущества и земельных отношений Новосибирской области </w:t>
      </w:r>
      <w:r>
        <w:rPr>
          <w:sz w:val="28"/>
          <w:szCs w:val="28"/>
        </w:rPr>
        <w:t xml:space="preserve">- начальник отдела реализации перераспределенных полномочий по распоряжению земельными участками</w:t>
      </w:r>
      <w:r>
        <w:rPr>
          <w:sz w:val="28"/>
          <w:szCs w:val="28"/>
        </w:rPr>
        <w:t xml:space="preserve"> Павел Комаров.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  <w:style w:type="paragraph" w:styleId="1_786" w:customStyle="1">
    <w:name w:val="Заголовок 1"/>
    <w:basedOn w:val="643"/>
    <w:next w:val="643"/>
    <w:link w:val="662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2024-12-20T02:56:40Z</dcterms:modified>
  <cp:version>917504</cp:version>
</cp:coreProperties>
</file>