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7ACF" w:rsidRPr="00677ACF" w:rsidRDefault="00677ACF" w:rsidP="00677ACF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677ACF">
        <w:rPr>
          <w:rFonts w:ascii="Segoe UI" w:hAnsi="Segoe UI" w:cs="Segoe UI"/>
          <w:b/>
          <w:noProof/>
          <w:sz w:val="28"/>
        </w:rPr>
        <w:t>Еще четыре геог</w:t>
      </w:r>
      <w:bookmarkStart w:id="0" w:name="_GoBack"/>
      <w:bookmarkEnd w:id="0"/>
      <w:r w:rsidRPr="00677ACF">
        <w:rPr>
          <w:rFonts w:ascii="Segoe UI" w:hAnsi="Segoe UI" w:cs="Segoe UI"/>
          <w:b/>
          <w:noProof/>
          <w:sz w:val="28"/>
        </w:rPr>
        <w:t xml:space="preserve">рафических объекта Новосибирской области </w:t>
      </w:r>
    </w:p>
    <w:p w:rsidR="00D65C8A" w:rsidRPr="00726E22" w:rsidRDefault="00677ACF" w:rsidP="00677ACF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677ACF">
        <w:rPr>
          <w:rFonts w:ascii="Segoe UI" w:hAnsi="Segoe UI" w:cs="Segoe UI"/>
          <w:b/>
          <w:noProof/>
          <w:sz w:val="28"/>
        </w:rPr>
        <w:t>зарегистрированы в Государственном каталоге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677ACF" w:rsidRPr="00677ACF" w:rsidRDefault="00677ACF" w:rsidP="00677ACF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677ACF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2023 году по результатам проверки Дежурной карты Новосибирской области новосибирским Росреестром выявлено четыре незарегистрированных географических наименования: река Тележенка, болото Карагай, рям Филькин в Кыштовском районе, озеро Горчик в Краснозерском районе, а также несоответствия типов 11 географических объектов (болото/рям), неточная форма написания названия озеро Мишукино в Кыштовском районе, зарегистрированных в Государственном каталоге географических названий (ГКГН).</w:t>
      </w:r>
    </w:p>
    <w:p w:rsidR="00677ACF" w:rsidRPr="00677ACF" w:rsidRDefault="00677ACF" w:rsidP="00677ACF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677ACF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Информация была направлена в адрес Публично-правовой компании «Роскадастр», которая ведет ГКГН, для внесения информации в реестр наименований.</w:t>
      </w:r>
    </w:p>
    <w:p w:rsidR="00677ACF" w:rsidRPr="00677ACF" w:rsidRDefault="00677ACF" w:rsidP="00677ACF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677ACF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Обновленный реестр наименований географических объектов на территорию Новосибирской области будет размещен на официальном сайте Компании  cgkipd.ru в разделе Деятельность/Государственный каталог географических названий/Реестры ГКГН.</w:t>
      </w:r>
    </w:p>
    <w:p w:rsidR="00FB3C30" w:rsidRDefault="00677ACF" w:rsidP="00677ACF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677ACF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ГКГН содержит более 8700 названий географических объектов региона: населенные пункты, железнодорожные станции, остановочные пункты, реки, озера, болота, гривы, урочища, пристани, острова, каналы и другие. По названию географического объекта можно увидеть его административную и географическую привязку.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677ACF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</w:t>
      </w:r>
      <w:r w:rsidRPr="00141714">
        <w:rPr>
          <w:rFonts w:ascii="Segoe UI" w:hAnsi="Segoe UI" w:cs="Segoe UI"/>
          <w:sz w:val="18"/>
          <w:szCs w:val="18"/>
        </w:rPr>
        <w:lastRenderedPageBreak/>
        <w:t xml:space="preserve">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CD79E7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E7" w:rsidRDefault="00CD79E7" w:rsidP="00747FDB">
      <w:pPr>
        <w:spacing w:after="0" w:line="240" w:lineRule="auto"/>
      </w:pPr>
      <w:r>
        <w:separator/>
      </w:r>
    </w:p>
  </w:endnote>
  <w:endnote w:type="continuationSeparator" w:id="0">
    <w:p w:rsidR="00CD79E7" w:rsidRDefault="00CD79E7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E7" w:rsidRDefault="00CD79E7" w:rsidP="00747FDB">
      <w:pPr>
        <w:spacing w:after="0" w:line="240" w:lineRule="auto"/>
      </w:pPr>
      <w:r>
        <w:separator/>
      </w:r>
    </w:p>
  </w:footnote>
  <w:footnote w:type="continuationSeparator" w:id="0">
    <w:p w:rsidR="00CD79E7" w:rsidRDefault="00CD79E7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77ACF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D79E7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oem</cp:lastModifiedBy>
  <cp:revision>8</cp:revision>
  <cp:lastPrinted>2022-01-19T07:30:00Z</cp:lastPrinted>
  <dcterms:created xsi:type="dcterms:W3CDTF">2023-04-24T06:32:00Z</dcterms:created>
  <dcterms:modified xsi:type="dcterms:W3CDTF">2023-09-20T02:07:00Z</dcterms:modified>
</cp:coreProperties>
</file>